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eastAsia="方正小标宋简体"/>
          <w:color w:val="FF0000"/>
          <w:w w:val="66"/>
          <w:sz w:val="104"/>
          <w:szCs w:val="84"/>
        </w:rPr>
      </w:pPr>
      <w:r>
        <w:rPr>
          <w:rFonts w:hint="eastAsia" w:ascii="方正小标宋简体" w:eastAsia="方正小标宋简体"/>
          <w:color w:val="FF0000"/>
          <w:w w:val="66"/>
          <w:sz w:val="104"/>
          <w:szCs w:val="84"/>
        </w:rPr>
        <w:t>浙  江  省  教  育  厅</w:t>
      </w:r>
    </w:p>
    <w:p>
      <w:pPr>
        <w:rPr>
          <w:rFonts w:hint="eastAsia" w:eastAsia="黑体"/>
          <w:b/>
          <w:color w:val="FF0000"/>
          <w:w w:val="66"/>
          <w:sz w:val="32"/>
          <w:szCs w:val="32"/>
        </w:rPr>
      </w:pPr>
      <w:r>
        <w:rPr>
          <w:color w:val="FF0000"/>
          <w:w w:val="66"/>
        </w:rPr>
        <w:t xml:space="preserve">   </w:t>
      </w:r>
    </w:p>
    <w:p>
      <w:pPr>
        <w:tabs>
          <w:tab w:val="left" w:pos="2610"/>
        </w:tabs>
        <w:spacing w:line="580" w:lineRule="exact"/>
        <w:rPr>
          <w:rFonts w:ascii="宋体" w:hAnsi="宋体"/>
          <w:color w:val="FF0000"/>
          <w:sz w:val="32"/>
          <w:szCs w:val="32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line id="Line 2" o:spid="_x0000_s1026" style="position:absolute;left:0;flip:y;margin-left:0pt;margin-top:7.7pt;height:0.05pt;width:441pt;rotation:0f;z-index:251658240;" o:ole="f" fillcolor="#FFFFFF" filled="f" o:preferrelative="t" stroked="t" coordsize="21600,21600">
            <v:fill on="f" color2="#FFFFFF" focus="0%"/>
            <v:stroke weight="3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eastAsia="黑体"/>
          <w:b/>
          <w:color w:val="FF0000"/>
          <w:w w:val="66"/>
          <w:sz w:val="32"/>
          <w:szCs w:val="32"/>
        </w:rPr>
        <w:tab/>
      </w:r>
    </w:p>
    <w:p>
      <w:pPr>
        <w:spacing w:line="58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浙教电传〔2014〕221号</w:t>
      </w:r>
    </w:p>
    <w:p>
      <w:pPr>
        <w:tabs>
          <w:tab w:val="right" w:pos="8959"/>
        </w:tabs>
        <w:spacing w:line="580" w:lineRule="exact"/>
        <w:rPr>
          <w:rFonts w:hint="eastAsia" w:ascii="Times New Roman" w:hAnsi="Times New Roman" w:eastAsia="方正小标宋简体"/>
          <w:sz w:val="32"/>
          <w:szCs w:val="2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浙江省教育厅办公室关于在高等学校开展</w:t>
      </w:r>
    </w:p>
    <w:p>
      <w:pPr>
        <w:spacing w:line="58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“浙江省优秀教师”评选表彰工作的通知</w:t>
      </w: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各高等学校：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根据省评比达标表彰工作的有关要求，自2014年起，“浙江省高校优秀教师”表彰项目将与其他表彰项目归并为省级优秀教师评选表彰项目。为做好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高校优秀教师</w:t>
      </w:r>
      <w:r>
        <w:rPr>
          <w:rFonts w:ascii="Times New Roman" w:hAnsi="Times New Roman" w:eastAsia="仿宋_GB2312"/>
          <w:sz w:val="32"/>
          <w:szCs w:val="32"/>
        </w:rPr>
        <w:t>评选表彰工作</w:t>
      </w:r>
      <w:r>
        <w:rPr>
          <w:rFonts w:ascii="Times New Roman" w:hAnsi="Times New Roman" w:eastAsia="仿宋_GB2312"/>
          <w:kern w:val="0"/>
          <w:sz w:val="32"/>
          <w:szCs w:val="32"/>
        </w:rPr>
        <w:t>，现将有关事项通知如下：</w:t>
      </w:r>
    </w:p>
    <w:p>
      <w:pPr>
        <w:spacing w:line="58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一、评选范围</w:t>
      </w:r>
    </w:p>
    <w:p>
      <w:pPr>
        <w:spacing w:line="5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全省普通高等学校在职在编一线教师。已获得省部级及以上劳动模范、优秀教师、先进工作者等荣誉称号的教师、学校中层正职及校级领导，原则上不参加评选。</w:t>
      </w:r>
    </w:p>
    <w:p>
      <w:pPr>
        <w:spacing w:line="58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二、评选条件</w:t>
      </w:r>
    </w:p>
    <w:p>
      <w:pPr>
        <w:spacing w:line="5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1.思想政治素质高，师德高尚，为人师表，恪尽职守，甘于奉献；</w:t>
      </w:r>
    </w:p>
    <w:p>
      <w:pPr>
        <w:spacing w:line="5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2.注重教研结合，知行合一，因材施教，教学经验丰富，育人效果好，深受学生爱戴，是学生的良师益友；</w:t>
      </w:r>
    </w:p>
    <w:p>
      <w:pPr>
        <w:spacing w:line="5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3.治学严谨，学风端正，有很好的团队精神；</w:t>
      </w:r>
    </w:p>
    <w:p>
      <w:pPr>
        <w:spacing w:line="5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4.积极主动承担本专科、研究生教学任务及学生思想政治工作，教学工作量饱满，育人效果好；</w:t>
      </w:r>
    </w:p>
    <w:p>
      <w:pPr>
        <w:spacing w:line="5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5.积极开展科学研究和社会服务工作，注重教学与科研的结合，成果突出；</w:t>
      </w:r>
    </w:p>
    <w:p>
      <w:pPr>
        <w:spacing w:line="5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6.年龄在60周岁以下。</w:t>
      </w:r>
    </w:p>
    <w:p>
      <w:pPr>
        <w:spacing w:line="58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三、评选名额和推荐名额分配原则</w:t>
      </w:r>
    </w:p>
    <w:p>
      <w:pPr>
        <w:spacing w:line="58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在高校评选“浙江省优秀教师”100名。根据专任教师数量，高职高专院校获奖数在30%左右。原则上按250名在职在编专任教师数（含独立学院）推荐一名候选人，实行差额推荐，并适当兼顾平衡的原则，全省推荐候选人为200名左右，具体推荐名额见附件1。</w:t>
      </w:r>
    </w:p>
    <w:p>
      <w:pPr>
        <w:spacing w:line="58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四、报送材料及时间要求</w:t>
      </w:r>
    </w:p>
    <w:p>
      <w:pPr>
        <w:spacing w:line="5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各高校</w:t>
      </w:r>
      <w:r>
        <w:rPr>
          <w:rFonts w:hint="eastAsia" w:ascii="Times New Roman" w:hAnsi="Times New Roman" w:eastAsia="仿宋_GB2312"/>
          <w:sz w:val="32"/>
          <w:szCs w:val="32"/>
        </w:rPr>
        <w:t>要</w:t>
      </w:r>
      <w:r>
        <w:rPr>
          <w:rFonts w:ascii="Times New Roman" w:hAnsi="Times New Roman" w:eastAsia="仿宋_GB2312"/>
          <w:sz w:val="32"/>
          <w:szCs w:val="32"/>
        </w:rPr>
        <w:t>严格按照评选条件及推荐名额，认真组织开展评选推荐工作。请各高校将《浙江省优秀教师推荐表》（</w:t>
      </w:r>
      <w:r>
        <w:rPr>
          <w:rFonts w:hint="eastAsia" w:ascii="Times New Roman" w:hAnsi="Times New Roman" w:eastAsia="仿宋_GB2312"/>
          <w:sz w:val="32"/>
          <w:szCs w:val="32"/>
        </w:rPr>
        <w:t>见</w:t>
      </w:r>
      <w:r>
        <w:rPr>
          <w:rFonts w:ascii="Times New Roman" w:hAnsi="Times New Roman" w:eastAsia="仿宋_GB2312"/>
          <w:sz w:val="32"/>
          <w:szCs w:val="32"/>
        </w:rPr>
        <w:t>附件2）与佐证材料装订成册一式20份、《浙江省优秀教师推荐人基本情况一览表》（</w:t>
      </w:r>
      <w:r>
        <w:rPr>
          <w:rFonts w:hint="eastAsia" w:ascii="Times New Roman" w:hAnsi="Times New Roman" w:eastAsia="仿宋_GB2312"/>
          <w:sz w:val="32"/>
          <w:szCs w:val="32"/>
        </w:rPr>
        <w:t>见</w:t>
      </w:r>
      <w:r>
        <w:rPr>
          <w:rFonts w:ascii="Times New Roman" w:hAnsi="Times New Roman" w:eastAsia="仿宋_GB2312"/>
          <w:sz w:val="32"/>
          <w:szCs w:val="32"/>
        </w:rPr>
        <w:t>附件3）一式1份、《浙江省优秀教师登记表》（</w:t>
      </w:r>
      <w:r>
        <w:rPr>
          <w:rFonts w:hint="eastAsia" w:ascii="Times New Roman" w:hAnsi="Times New Roman" w:eastAsia="仿宋_GB2312"/>
          <w:sz w:val="32"/>
          <w:szCs w:val="32"/>
        </w:rPr>
        <w:t>见</w:t>
      </w:r>
      <w:r>
        <w:rPr>
          <w:rFonts w:ascii="Times New Roman" w:hAnsi="Times New Roman" w:eastAsia="仿宋_GB2312"/>
          <w:sz w:val="32"/>
          <w:szCs w:val="32"/>
        </w:rPr>
        <w:t>附件4）一式4份于</w:t>
      </w:r>
      <w:r>
        <w:rPr>
          <w:rFonts w:hint="eastAsia" w:ascii="Times New Roman" w:hAnsi="Times New Roman" w:eastAsia="仿宋_GB2312"/>
          <w:sz w:val="32"/>
          <w:szCs w:val="32"/>
        </w:rPr>
        <w:t>2014年7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</w:rPr>
        <w:t>日前报送省教育厅高校科研师资处，逾期不予受理。有关通知文件和申报表格请到省教育厅门户网站www.zjedu.gov.cn下载。</w:t>
      </w:r>
    </w:p>
    <w:p>
      <w:pPr>
        <w:spacing w:line="5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联系人：邹阳洋、雷炜，联系电话：0571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88008972、88008820，各校推荐人员的材料请发邮箱：yyzou1981@sina.com。</w:t>
      </w:r>
    </w:p>
    <w:p>
      <w:pPr>
        <w:spacing w:line="58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附件：1.浙江省优秀教师推荐名额</w:t>
      </w:r>
    </w:p>
    <w:p>
      <w:pPr>
        <w:spacing w:line="580" w:lineRule="exact"/>
        <w:ind w:firstLine="1600" w:firstLineChars="5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2.浙江省优秀教师推荐表</w:t>
      </w:r>
    </w:p>
    <w:p>
      <w:pPr>
        <w:spacing w:line="580" w:lineRule="exact"/>
        <w:ind w:firstLine="1600" w:firstLineChars="5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浙江省优秀教师推荐人基本情况一览表</w:t>
      </w:r>
    </w:p>
    <w:p>
      <w:pPr>
        <w:spacing w:line="580" w:lineRule="exact"/>
        <w:ind w:firstLine="1600" w:firstLineChars="5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>浙江省优秀教师登记表</w:t>
      </w:r>
    </w:p>
    <w:p>
      <w:pPr>
        <w:spacing w:line="58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right="1104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浙江省教育厅</w:t>
      </w:r>
      <w:r>
        <w:rPr>
          <w:rFonts w:hint="eastAsia" w:ascii="Times New Roman" w:hAnsi="Times New Roman" w:eastAsia="仿宋_GB2312"/>
          <w:sz w:val="32"/>
          <w:szCs w:val="32"/>
        </w:rPr>
        <w:t>办公室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tabs>
          <w:tab w:val="left" w:pos="9180"/>
        </w:tabs>
        <w:spacing w:line="580" w:lineRule="exact"/>
        <w:ind w:right="1284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2014年6月</w:t>
      </w:r>
      <w:r>
        <w:rPr>
          <w:rFonts w:hint="eastAsia" w:ascii="Times New Roman" w:hAnsi="Times New Roman" w:eastAsia="仿宋_GB2312"/>
          <w:sz w:val="32"/>
          <w:szCs w:val="32"/>
        </w:rPr>
        <w:t>18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hint="eastAsia" w:ascii="华文仿宋" w:hAnsi="华文仿宋" w:eastAsia="华文仿宋"/>
        </w:rPr>
      </w:pPr>
    </w:p>
    <w:p>
      <w:pPr>
        <w:tabs>
          <w:tab w:val="left" w:pos="2715"/>
        </w:tabs>
        <w:rPr>
          <w:rFonts w:hint="eastAsia" w:ascii="宋体" w:hAnsi="宋体"/>
          <w:sz w:val="32"/>
          <w:szCs w:val="32"/>
        </w:rPr>
      </w:pPr>
    </w:p>
    <w:p>
      <w:pPr>
        <w:tabs>
          <w:tab w:val="left" w:pos="2715"/>
        </w:tabs>
        <w:rPr>
          <w:rFonts w:hint="eastAsia" w:ascii="宋体" w:hAnsi="宋体"/>
          <w:sz w:val="32"/>
          <w:szCs w:val="32"/>
        </w:rPr>
      </w:pPr>
    </w:p>
    <w:p>
      <w:pPr>
        <w:tabs>
          <w:tab w:val="left" w:pos="2715"/>
        </w:tabs>
        <w:rPr>
          <w:rFonts w:hint="eastAsia" w:ascii="宋体" w:hAnsi="宋体"/>
          <w:sz w:val="32"/>
          <w:szCs w:val="32"/>
        </w:rPr>
      </w:pPr>
    </w:p>
    <w:p>
      <w:pPr>
        <w:tabs>
          <w:tab w:val="left" w:pos="2715"/>
        </w:tabs>
        <w:rPr>
          <w:rFonts w:hint="eastAsia" w:ascii="宋体" w:hAnsi="宋体"/>
          <w:sz w:val="32"/>
          <w:szCs w:val="32"/>
        </w:rPr>
      </w:pPr>
    </w:p>
    <w:p>
      <w:pPr>
        <w:tabs>
          <w:tab w:val="left" w:pos="2715"/>
        </w:tabs>
        <w:rPr>
          <w:rFonts w:hint="eastAsia" w:ascii="宋体" w:hAnsi="宋体"/>
          <w:sz w:val="32"/>
          <w:szCs w:val="32"/>
        </w:rPr>
      </w:pPr>
    </w:p>
    <w:p>
      <w:pPr>
        <w:tabs>
          <w:tab w:val="left" w:pos="2715"/>
        </w:tabs>
        <w:rPr>
          <w:rFonts w:hint="eastAsia" w:ascii="宋体" w:hAnsi="宋体"/>
          <w:sz w:val="32"/>
          <w:szCs w:val="32"/>
        </w:rPr>
      </w:pPr>
    </w:p>
    <w:p>
      <w:pPr>
        <w:tabs>
          <w:tab w:val="left" w:pos="2715"/>
        </w:tabs>
        <w:rPr>
          <w:rFonts w:hint="eastAsia" w:ascii="宋体" w:hAnsi="宋体"/>
          <w:sz w:val="32"/>
          <w:szCs w:val="32"/>
        </w:rPr>
      </w:pPr>
    </w:p>
    <w:p>
      <w:pPr>
        <w:tabs>
          <w:tab w:val="left" w:pos="2715"/>
        </w:tabs>
        <w:rPr>
          <w:rFonts w:hint="eastAsia" w:ascii="宋体" w:hAnsi="宋体"/>
          <w:sz w:val="32"/>
          <w:szCs w:val="32"/>
        </w:rPr>
      </w:pPr>
    </w:p>
    <w:p>
      <w:pPr>
        <w:tabs>
          <w:tab w:val="left" w:pos="2715"/>
        </w:tabs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p/>
    <w:sectPr>
      <w:footerReference r:id="rId4" w:type="default"/>
      <w:pgSz w:w="11906" w:h="16838"/>
      <w:pgMar w:top="1928" w:right="1531" w:bottom="1928" w:left="1531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altName w:val="Arial Rounded MT Bold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Cambria">
    <w:altName w:val="Palatino Linotype"/>
    <w:panose1 w:val="02040503050406030204"/>
    <w:charset w:val="00"/>
    <w:family w:val="auto"/>
    <w:pitch w:val="default"/>
    <w:sig w:usb0="A00002EF" w:usb1="4000004B" w:usb2="00000000" w:usb3="00000000" w:csb0="000000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outside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- 1 -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/>
  </w:style>
  <w:style w:type="character" w:customStyle="1" w:styleId="5">
    <w:name w:val="页脚 Char"/>
    <w:basedOn w:val="3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755</Words>
  <Characters>4310</Characters>
  <Lines>35</Lines>
  <Paragraphs>10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2014-06-19T02:06:00Z</dcterms:created>
  <dc:creator>雷炜</dc:creator>
  <cp:lastModifiedBy>Administrator</cp:lastModifiedBy>
  <dcterms:modified xsi:type="dcterms:W3CDTF">2014-06-23T02:14:15Z</dcterms:modified>
  <dc:title>浙  江  省  教  育  厅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